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  <w:bookmarkStart w:id="0" w:name="_Hlk117583445"/>
      <w:bookmarkStart w:id="1" w:name="_Hlk117583445"/>
      <w:bookmarkEnd w:id="1"/>
    </w:p>
    <w:p>
      <w:pPr>
        <w:pStyle w:val="Titre1"/>
        <w:tabs>
          <w:tab w:val="clear" w:pos="720"/>
          <w:tab w:val="left" w:pos="516" w:leader="none"/>
          <w:tab w:val="left" w:pos="3675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tabs>
          <w:tab w:val="clear" w:pos="720"/>
          <w:tab w:val="left" w:pos="1985" w:leader="none"/>
        </w:tabs>
        <w:rPr/>
      </w:pPr>
      <w:r>
        <w:rPr/>
        <w:tab/>
      </w:r>
    </w:p>
    <w:p>
      <w:pPr>
        <w:pStyle w:val="Normal"/>
        <w:tabs>
          <w:tab w:val="clear" w:pos="720"/>
          <w:tab w:val="left" w:pos="1985" w:leader="none"/>
        </w:tabs>
        <w:rPr/>
      </w:pPr>
      <w:r>
        <w:rPr/>
        <w:t xml:space="preserve">                                </w:t>
      </w:r>
      <w:r>
        <w:rPr/>
        <w:drawing>
          <wp:inline distT="0" distB="0" distL="0" distR="0">
            <wp:extent cx="1980565" cy="552450"/>
            <wp:effectExtent l="0" t="0" r="0" b="0"/>
            <wp:docPr id="1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Titre1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re1"/>
        <w:spacing w:before="0" w:after="120"/>
        <w:jc w:val="center"/>
        <w:rPr/>
      </w:pPr>
      <w:r>
        <w:rPr>
          <w:sz w:val="20"/>
          <w:szCs w:val="20"/>
        </w:rPr>
        <w:t>AVIS DE COURSE – Départementale Windsurf 13/11/2022</w:t>
      </w:r>
    </w:p>
    <w:tbl>
      <w:tblPr>
        <w:tblStyle w:val="a"/>
        <w:tblW w:w="921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12"/>
      </w:tblGrid>
      <w:tr>
        <w:trPr>
          <w:trHeight w:val="1249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356" w:leader="none"/>
              </w:tabs>
              <w:ind w:right="-6" w:hanging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356" w:leader="none"/>
              </w:tabs>
              <w:ind w:right="-6" w:hanging="0"/>
              <w:jc w:val="center"/>
              <w:rPr/>
            </w:pPr>
            <w:r>
              <w:rPr/>
              <w:t>Grade : 5B</w:t>
            </w:r>
          </w:p>
          <w:p>
            <w:pPr>
              <w:pStyle w:val="Normal"/>
              <w:tabs>
                <w:tab w:val="clear" w:pos="720"/>
                <w:tab w:val="left" w:pos="9356" w:leader="none"/>
              </w:tabs>
              <w:ind w:right="-6" w:hanging="0"/>
              <w:jc w:val="center"/>
              <w:rPr/>
            </w:pPr>
            <w:r>
              <w:rPr/>
              <w:t>Lieu : [ASN Quiberon- plage du Porigo]</w:t>
            </w:r>
          </w:p>
          <w:p>
            <w:pPr>
              <w:pStyle w:val="Normal"/>
              <w:tabs>
                <w:tab w:val="clear" w:pos="720"/>
                <w:tab w:val="left" w:pos="9356" w:leader="none"/>
              </w:tabs>
              <w:ind w:right="-6" w:hanging="0"/>
              <w:jc w:val="center"/>
              <w:rPr/>
            </w:pPr>
            <w:r>
              <w:rPr/>
              <w:t>Autorité Organisatrice : [ASN Quiberon]</w:t>
            </w:r>
          </w:p>
          <w:p>
            <w:pPr>
              <w:pStyle w:val="Normal"/>
              <w:tabs>
                <w:tab w:val="clear" w:pos="720"/>
                <w:tab w:val="left" w:pos="9356" w:leader="none"/>
              </w:tabs>
              <w:ind w:right="-6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9356" w:leader="none"/>
        </w:tabs>
        <w:ind w:right="-6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a0"/>
        <w:tblW w:w="100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</w:rPr>
              <w:t>RÈGLES</w:t>
            </w:r>
          </w:p>
        </w:tc>
      </w:tr>
      <w:tr>
        <w:trPr>
          <w:trHeight w:val="477" w:hRule="atLeast"/>
        </w:trPr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L’épreuve est régie par 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- Les règles telles que définies dans Les Règles de Course à la Voile (incluant l’annexe B   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pour les windsurf/foil)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 Les règlements fédéraux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 Le règlement du Championnat Départemental Voile légère 2022</w:t>
            </w:r>
          </w:p>
        </w:tc>
      </w:tr>
      <w:tr>
        <w:trPr>
          <w:trHeight w:val="477" w:hRule="atLeast"/>
        </w:trPr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pBdr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DROITS </w:t>
      </w:r>
      <w:r>
        <w:rPr>
          <w:b/>
          <w:sz w:val="22"/>
          <w:szCs w:val="22"/>
        </w:rPr>
        <w:t>À PAYER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Les droits requis sont les suivants :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Raceboard [RCB], Techno 293 od [B 293], Windfoil </w:t>
      </w:r>
      <w:bookmarkStart w:id="2" w:name="_Hlk117583348"/>
      <w:r>
        <w:rPr>
          <w:sz w:val="22"/>
          <w:szCs w:val="22"/>
        </w:rPr>
        <w:t xml:space="preserve">[HFW], </w:t>
      </w:r>
      <w:bookmarkEnd w:id="2"/>
      <w:r>
        <w:rPr>
          <w:sz w:val="22"/>
          <w:szCs w:val="22"/>
        </w:rPr>
        <w:t>Windsurfer [WSUR],  : 12 €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INSCRIPTIONS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L’inscription à la régate se fera en ligne sur le site du club : 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hyperlink r:id="rId3">
        <w:r>
          <w:rPr>
            <w:rStyle w:val="LienInternet"/>
            <w:sz w:val="22"/>
            <w:szCs w:val="22"/>
          </w:rPr>
          <w:t>https://asnquiberon.axyomes.com/client/regate_1.php?regate_id=118135&amp;4791799176d364b57330d7aeefa9c64e=469d5a85eba81cd446da66b00f5ed203</w:t>
        </w:r>
      </w:hyperlink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PROGRAMME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Inscription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 (retardataires ou inscriptions non complètes): </w:t>
      </w:r>
      <w:r>
        <w:rPr>
          <w:b/>
          <w:sz w:val="22"/>
          <w:szCs w:val="22"/>
        </w:rPr>
        <w:t>9h00h – 10h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Briefing coureurs : </w:t>
      </w:r>
      <w:r>
        <w:rPr>
          <w:b/>
          <w:sz w:val="22"/>
          <w:szCs w:val="22"/>
        </w:rPr>
        <w:t>10h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Premier signal d’avertissement sur l’eau : </w:t>
      </w:r>
      <w:r>
        <w:rPr>
          <w:b/>
          <w:sz w:val="22"/>
          <w:szCs w:val="22"/>
        </w:rPr>
        <w:t>11h30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Remise des prix et pot : </w:t>
      </w:r>
      <w:r>
        <w:rPr>
          <w:b/>
          <w:sz w:val="22"/>
          <w:szCs w:val="22"/>
        </w:rPr>
        <w:t xml:space="preserve">au plus tard à 17h !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INSTRUCTIONS DE COURSE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Les instructions de course et les annexes éventuelles seront affichées le jour de la régate et seront disponibles en ligne sur le site 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LES PARCOURS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Le parcours et la zone de course seront définis lors du briefing ou dans les instructions de course.</w:t>
      </w:r>
    </w:p>
    <w:p>
      <w:pPr>
        <w:pStyle w:val="Normal"/>
        <w:ind w:left="705" w:hanging="705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CLASSEMENT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 course devra être validée pour valider la compétition.</w:t>
      </w:r>
    </w:p>
    <w:p>
      <w:pPr>
        <w:pStyle w:val="Normal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jc w:val="both"/>
        <w:rPr>
          <w:b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ADMISSIBILITÉ</w:t>
      </w:r>
    </w:p>
    <w:tbl>
      <w:tblPr>
        <w:tblStyle w:val="a1"/>
        <w:tblW w:w="100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/>
          </w:tcPr>
          <w:p>
            <w:pPr>
              <w:pStyle w:val="Normal"/>
              <w:keepNext w:val="true"/>
              <w:keepLines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i/>
                <w:i/>
                <w:color w:val="0000FF"/>
                <w:sz w:val="22"/>
                <w:szCs w:val="22"/>
              </w:rPr>
            </w:pPr>
            <w:bookmarkStart w:id="3" w:name="_gjdgxs"/>
            <w:bookmarkEnd w:id="3"/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L’épreuve est ouverte aux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classe</w:t>
            </w:r>
            <w:r>
              <w:rPr>
                <w:color w:val="000000"/>
                <w:sz w:val="22"/>
                <w:szCs w:val="22"/>
              </w:rPr>
              <w:t>s </w:t>
            </w:r>
            <w:r>
              <w:rPr>
                <w:i/>
                <w:color w:val="0000FF"/>
                <w:sz w:val="22"/>
                <w:szCs w:val="22"/>
              </w:rPr>
              <w:t>:</w:t>
            </w:r>
          </w:p>
          <w:p>
            <w:pPr>
              <w:pStyle w:val="Normal"/>
              <w:numPr>
                <w:ilvl w:val="0"/>
                <w:numId w:val="3"/>
              </w:numPr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Windsurf Promotion &amp; Départem</w:t>
            </w:r>
            <w:r>
              <w:rPr>
                <w:sz w:val="22"/>
                <w:szCs w:val="22"/>
              </w:rPr>
              <w:t>ental</w:t>
            </w:r>
          </w:p>
          <w:p>
            <w:pPr>
              <w:pStyle w:val="Normal"/>
              <w:numPr>
                <w:ilvl w:val="0"/>
                <w:numId w:val="3"/>
              </w:numPr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Race Board</w:t>
            </w:r>
          </w:p>
          <w:p>
            <w:pPr>
              <w:pStyle w:val="Normal"/>
              <w:numPr>
                <w:ilvl w:val="0"/>
                <w:numId w:val="3"/>
              </w:numPr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Windsurfer</w:t>
            </w:r>
          </w:p>
          <w:p>
            <w:pPr>
              <w:pStyle w:val="Normal"/>
              <w:numPr>
                <w:ilvl w:val="0"/>
                <w:numId w:val="3"/>
              </w:numPr>
              <w:pBdr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Windfoil</w:t>
            </w:r>
          </w:p>
          <w:p>
            <w:pPr>
              <w:pStyle w:val="Normal"/>
              <w:ind w:left="7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pBdr/>
              <w:ind w:left="720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ind w:left="7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pBdr/>
              <w:ind w:left="720" w:hanging="0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ind w:left="720" w:hanging="0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ind w:left="720" w:hanging="0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Documents exigibles à l’inscription : </w:t>
            </w:r>
          </w:p>
          <w:p>
            <w:pPr>
              <w:pStyle w:val="Normal"/>
              <w:widowControl/>
              <w:pBdr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/>
              <w:pBdr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Pour chaque membre de l’équipage en possession d’une Licence Club FFVoile :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pBdr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Soit la licence Club FFVoile mention « compétition » valide attestant la présentation préalable d’un certificat médical de non contre-indication à la pratique de la voile en compétition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pBdr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Soit la licence Club FFVoile mention « adhésion » ou « pratiquant » accompagnée d’un certificat médical de non-contre-indication à la pratique de la voile en compétition datant de moins d’un an.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X   Une autorisation parentale pour tout membre mineur de l’équipage 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rPr>
          <w:b/>
          <w:b/>
          <w:color w:val="000000"/>
        </w:rPr>
      </w:pPr>
      <w:r>
        <w:rPr>
          <w:b/>
          <w:color w:val="000000"/>
        </w:rPr>
        <w:t>Le coureur s’engage :</w:t>
      </w:r>
    </w:p>
    <w:p>
      <w:pPr>
        <w:pStyle w:val="Normal"/>
        <w:pBdr/>
        <w:ind w:left="720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2"/>
        </w:numPr>
        <w:pBdr/>
        <w:rPr>
          <w:color w:val="000000"/>
        </w:rPr>
      </w:pPr>
      <w:r>
        <w:rPr>
          <w:color w:val="000000"/>
        </w:rPr>
        <w:t>à se présenter avec un matériel vérifié et conforme aux règles de jauge,</w:t>
      </w:r>
    </w:p>
    <w:p>
      <w:pPr>
        <w:pStyle w:val="Normal"/>
        <w:numPr>
          <w:ilvl w:val="0"/>
          <w:numId w:val="2"/>
        </w:numPr>
        <w:pBdr/>
        <w:rPr>
          <w:color w:val="000000"/>
        </w:rPr>
      </w:pPr>
      <w:r>
        <w:rPr>
          <w:color w:val="000000"/>
        </w:rPr>
        <w:t xml:space="preserve">à respecter les règles de l’épreuve. </w:t>
      </w:r>
    </w:p>
    <w:p>
      <w:pPr>
        <w:pStyle w:val="Normal"/>
        <w:numPr>
          <w:ilvl w:val="0"/>
          <w:numId w:val="2"/>
        </w:numPr>
        <w:pBdr/>
        <w:rPr>
          <w:color w:val="000000"/>
        </w:rPr>
      </w:pPr>
      <w:r>
        <w:rPr>
          <w:color w:val="000000"/>
        </w:rPr>
        <w:t>à naviguer au cours de cette épreuve sous sa seule responsabilité et être titulaire d’une assurance en responsabilité civile valide pour cette épreuve.</w:t>
      </w:r>
    </w:p>
    <w:p>
      <w:pPr>
        <w:pStyle w:val="Normal"/>
        <w:numPr>
          <w:ilvl w:val="0"/>
          <w:numId w:val="2"/>
        </w:numPr>
        <w:pBdr/>
        <w:rPr>
          <w:color w:val="000000"/>
        </w:rPr>
      </w:pPr>
      <w:r>
        <w:rPr>
          <w:color w:val="000000"/>
        </w:rPr>
        <w:t>à accepter les prises de vues et les photos (à terre comme sur l'eau) par les cameramen et photographes</w:t>
      </w:r>
      <w:r>
        <w:rPr>
          <w:i/>
          <w:color w:val="000000"/>
        </w:rPr>
        <w:t xml:space="preserve">. </w:t>
      </w:r>
    </w:p>
    <w:p>
      <w:pPr>
        <w:pStyle w:val="Normal"/>
        <w:ind w:left="36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pBdr/>
        <w:ind w:left="720" w:hanging="0"/>
        <w:rPr>
          <w:color w:val="000000"/>
        </w:rPr>
      </w:pPr>
      <w:r>
        <w:rPr>
          <w:i/>
          <w:color w:val="000000"/>
        </w:rPr>
        <w:t>Le coureur atteste avoir pris connaissance des garanties liées à la licence souscrite à la FFV et de la possibilité de souscrire des garanties complémentaires (dont les capitaux invalidité et décès sont plus importants).</w:t>
      </w:r>
    </w:p>
    <w:p>
      <w:pPr>
        <w:pStyle w:val="Normal"/>
        <w:pBdr/>
        <w:ind w:left="720" w:hanging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PRIX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 prix seront distribués comme suit : 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PROMOTION : </w:t>
        <w:tab/>
        <w:t>1er, 2nd, 3ème scratch, 1</w:t>
      </w:r>
      <w:r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nde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filles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DÉPARTEMENTAL : </w:t>
        <w:tab/>
        <w:t>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garçons,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filles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RACEBOARD : </w:t>
        <w:tab/>
        <w:t>1er, 2nd, 3ème scratch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WINDSURFER :         1er, 2nd, 3ème scratch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Windfoil U19 : </w:t>
        <w:tab/>
        <w:t>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garçons,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fille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Windfoil U17 : </w:t>
        <w:tab/>
        <w:t>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garçons,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filles</w:t>
      </w:r>
    </w:p>
    <w:p>
      <w:pPr>
        <w:pStyle w:val="Normal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DÉCISION</w:t>
      </w:r>
      <w:r>
        <w:rPr>
          <w:b/>
          <w:color w:val="000000"/>
          <w:sz w:val="22"/>
          <w:szCs w:val="22"/>
        </w:rPr>
        <w:t xml:space="preserve"> DE COURIR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La décision d’un concurrent de participer à une course ou de rester en course relève de sa seule responsabilité. En conséquence, en acceptant de participer à la course ou de rester en course, le concurrent décharge l’autorité organisatrice de toute responsabilité en cas de dommage (matériel et/ou corporel).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INFORMATIONS </w:t>
      </w:r>
      <w:r>
        <w:rPr>
          <w:b/>
          <w:sz w:val="22"/>
          <w:szCs w:val="22"/>
        </w:rPr>
        <w:t>COMPLÉMENTAIRES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toutes informations complémentaires, veuillez contacter : 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ASN Quiberon</w:t>
      </w:r>
    </w:p>
    <w:p>
      <w:pPr>
        <w:pStyle w:val="Normal"/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/>
        <w:ind w:firstLine="708"/>
        <w:jc w:val="both"/>
        <w:rPr>
          <w:color w:val="000000"/>
          <w:sz w:val="22"/>
          <w:szCs w:val="22"/>
        </w:rPr>
      </w:pPr>
      <w:hyperlink r:id="rId4">
        <w:r>
          <w:rPr>
            <w:rStyle w:val="LienInternet"/>
            <w:sz w:val="22"/>
            <w:szCs w:val="22"/>
          </w:rPr>
          <w:t>mailto:contact@asnquiberon.com</w:t>
        </w:r>
      </w:hyperlink>
    </w:p>
    <w:p>
      <w:pPr>
        <w:pStyle w:val="Normal"/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firstLine="708"/>
        <w:jc w:val="both"/>
        <w:rPr>
          <w:color w:val="1A0DAB"/>
          <w:sz w:val="22"/>
          <w:szCs w:val="22"/>
          <w:highlight w:val="white"/>
          <w:u w:val="single"/>
        </w:rPr>
      </w:pPr>
      <w:r>
        <w:rPr>
          <w:color w:val="000000"/>
          <w:sz w:val="22"/>
          <w:szCs w:val="22"/>
        </w:rPr>
        <w:t xml:space="preserve">Tél. : </w:t>
      </w:r>
      <w:hyperlink r:id="rId5">
        <w:r>
          <w:rPr>
            <w:color w:val="1A0DAB"/>
            <w:sz w:val="22"/>
            <w:szCs w:val="22"/>
            <w:highlight w:val="white"/>
            <w:u w:val="single"/>
          </w:rPr>
          <w:t>02 97 30</w:t>
        </w:r>
      </w:hyperlink>
      <w:r>
        <w:rPr>
          <w:color w:val="1A0DAB"/>
          <w:sz w:val="22"/>
          <w:szCs w:val="22"/>
          <w:highlight w:val="white"/>
          <w:u w:val="single"/>
        </w:rPr>
        <w:t xml:space="preserve"> 56 54</w:t>
      </w:r>
    </w:p>
    <w:p>
      <w:pPr>
        <w:pStyle w:val="Normal"/>
        <w:widowControl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b/>
          <w:b/>
          <w:sz w:val="22"/>
          <w:szCs w:val="22"/>
        </w:rPr>
      </w:pPr>
      <w:r>
        <w:rPr/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851" w:right="851" w:header="0" w:top="284" w:footer="0" w:bottom="28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-540385</wp:posOffset>
          </wp:positionH>
          <wp:positionV relativeFrom="paragraph">
            <wp:posOffset>-847090</wp:posOffset>
          </wp:positionV>
          <wp:extent cx="7533005" cy="967740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8399" r="0" b="20702"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-570865</wp:posOffset>
          </wp:positionH>
          <wp:positionV relativeFrom="paragraph">
            <wp:posOffset>635</wp:posOffset>
          </wp:positionV>
          <wp:extent cx="7560310" cy="2834640"/>
          <wp:effectExtent l="0" t="0" r="0" b="0"/>
          <wp:wrapNone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80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3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widowControl/>
      <w:pBdr/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40" w:after="4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20" w:after="40"/>
      <w:outlineLvl w:val="4"/>
    </w:pPr>
    <w:rPr>
      <w:b/>
      <w:color w:val="000000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44d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44dc3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uiPriority w:val="10"/>
    <w:qFormat/>
    <w:pPr>
      <w:keepNext w:val="true"/>
      <w:keepLines/>
      <w:widowControl/>
      <w:pBdr/>
      <w:spacing w:before="480" w:after="120"/>
    </w:pPr>
    <w:rPr>
      <w:b/>
      <w:color w:val="000000"/>
      <w:sz w:val="72"/>
      <w:szCs w:val="72"/>
    </w:rPr>
  </w:style>
  <w:style w:type="paragraph" w:styleId="Soustitre">
    <w:name w:val="Subtitle"/>
    <w:basedOn w:val="Normal"/>
    <w:next w:val="Normal"/>
    <w:uiPriority w:val="11"/>
    <w:qFormat/>
    <w:pPr>
      <w:keepNext w:val="true"/>
      <w:keepLines/>
      <w:widowControl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paragraph" w:styleId="Entte">
    <w:name w:val="Header"/>
    <w:basedOn w:val="Entteetpieddepag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asnquiberon.axyomes.com/client/regate_1.php?regate_id=118135&amp;4791799176d364b57330d7aeefa9c64e=469d5a85eba81cd446da66b00f5ed203" TargetMode="External"/><Relationship Id="rId4" Type="http://schemas.openxmlformats.org/officeDocument/2006/relationships/hyperlink" Target="mailto:contact@asnquiberon.com" TargetMode="External"/><Relationship Id="rId5" Type="http://schemas.openxmlformats.org/officeDocument/2006/relationships/hyperlink" Target="https://www.google.com/search?q=cn+lorient&amp;rlz=1C1CHBF_frFR761FR761&amp;oq=cn+lorient&amp;aqs=chrome..69i57j69i61.1903j0j7&amp;sourceid=chrome&amp;ie=UTF-8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LibreOffice/6.4.0.3$Windows_X86_64 LibreOffice_project/b0a288ab3d2d4774cb44b62f04d5d28733ac6df8</Application>
  <Pages>2</Pages>
  <Words>544</Words>
  <Characters>2905</Characters>
  <CharactersWithSpaces>3519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2022-10-25T07:39:00Z</dcterms:created>
  <dc:creator>Antoine</dc:creator>
  <dc:description/>
  <dc:language>fr-FR</dc:language>
  <cp:lastModifiedBy/>
  <dcterms:modified xsi:type="dcterms:W3CDTF">2022-10-28T10:28:20Z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